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pBdr>
          <w:bottom w:val="single" w:color="BFBFBF" w:sz="6" w:space="4"/>
        </w:pBdr>
        <w:spacing w:after="220" w:before="0"/>
      </w:pPr>
      <w:r>
        <w:rPr>
          <w:rFonts w:ascii="Calibri" w:cs="Calibri" w:eastAsia="Calibri" w:hAnsi="Calibri"/>
          <w:color w:val="1F3864"/>
          <w:sz w:val="30"/>
          <w:szCs w:val="30"/>
        </w:rPr>
        <w:t xml:space="preserve">ANNEXE AUX COMPTES ANNUELS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[DÉNOMINATION SOCIALE] — Société par actions simplifiée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Capital social :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COMPLÉTER]</w:t>
      </w:r>
      <w:r>
        <w:rPr>
          <w:rFonts w:ascii="Calibri" w:cs="Calibri" w:eastAsia="Calibri" w:hAnsi="Calibri"/>
          <w:sz w:val="20"/>
          <w:szCs w:val="20"/>
        </w:rPr>
        <w:t xml:space="preserve"> €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Siège social :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COMPLÉTER]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RCS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[VILLE]</w:t>
      </w:r>
      <w:r>
        <w:rPr>
          <w:rFonts w:ascii="Calibri" w:cs="Calibri" w:eastAsia="Calibri" w:hAnsi="Calibri"/>
          <w:sz w:val="20"/>
          <w:szCs w:val="20"/>
        </w:rPr>
        <w:t xml:space="preserve">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[N° SIREN]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Exercice clos le </w:t>
      </w:r>
      <w:r>
        <w:rPr>
          <w:rFonts w:ascii="Consolas" w:cs="Consolas" w:eastAsia="Consolas" w:hAnsi="Consolas"/>
          <w:b/>
          <w:bCs/>
          <w:color w:val="A6262B"/>
          <w:sz w:val="18"/>
          <w:szCs w:val="18"/>
        </w:rPr>
        <w:t xml:space="preserve">[JJ/MM/AAAA]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Premier exercice social — durée : </w:t>
      </w:r>
      <w:r>
        <w:rPr>
          <w:rFonts w:ascii="Consolas" w:cs="Consolas" w:eastAsia="Consolas" w:hAnsi="Consolas"/>
          <w:b/>
          <w:bCs/>
          <w:color w:val="A6262B"/>
          <w:sz w:val="18"/>
          <w:szCs w:val="18"/>
        </w:rPr>
        <w:t xml:space="preserve">[N]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 mois, du </w:t>
      </w:r>
      <w:r>
        <w:rPr>
          <w:rFonts w:ascii="Consolas" w:cs="Consolas" w:eastAsia="Consolas" w:hAnsi="Consolas"/>
          <w:b/>
          <w:bCs/>
          <w:color w:val="A6262B"/>
          <w:sz w:val="18"/>
          <w:szCs w:val="18"/>
        </w:rPr>
        <w:t xml:space="preserve">[JJ/MM/AAAA]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 au </w:t>
      </w:r>
      <w:r>
        <w:rPr>
          <w:rFonts w:ascii="Consolas" w:cs="Consolas" w:eastAsia="Consolas" w:hAnsi="Consolas"/>
          <w:b/>
          <w:bCs/>
          <w:color w:val="A6262B"/>
          <w:sz w:val="18"/>
          <w:szCs w:val="18"/>
        </w:rPr>
        <w:t xml:space="preserve">[JJ/MM/AAAA]</w:t>
      </w:r>
    </w:p>
    <w:p>
      <w:r>
        <w:br w:type="page"/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Sommaire</w:t>
      </w:r>
    </w:p>
    <w:sdt>
      <w:sdtPr>
        <w:alias w:val="Sommair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Bdr>
          <w:left w:val="single" w:color="1F3864" w:sz="18" w:space="8"/>
        </w:pBdr>
        <w:shd w:fill="F4F6FA" w:color="auto" w:val="clear"/>
        <w:spacing w:after="60" w:before="120" w:line="276"/>
        <w:ind w:left="24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STATUT : PROJET — NON VALIDÉ</w:t>
      </w:r>
    </w:p>
    <w:p>
      <w:pPr>
        <w:pBdr>
          <w:left w:val="single" w:color="1F3864" w:sz="18" w:space="8"/>
        </w:pBdr>
        <w:shd w:fill="F4F6FA" w:color="auto" w:val="clear"/>
        <w:spacing w:after="60" w:before="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Document à faire valider par l'expert-comptable établissant les comptes et par le commissaire aux comptes.</w:t>
      </w:r>
    </w:p>
    <w:p>
      <w:pPr>
        <w:pBdr>
          <w:left w:val="single" w:color="1F3864" w:sz="18" w:space="8"/>
        </w:pBdr>
        <w:shd w:fill="F4F6FA" w:color="auto" w:val="clear"/>
        <w:spacing w:after="60" w:before="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Les références d'articles (PCG / Code de commerce) sont à confirmer dans leur rédaction en vigueur à la date de clôture.</w:t>
      </w:r>
    </w:p>
    <w:p>
      <w:pPr>
        <w:pBdr>
          <w:left w:val="single" w:color="1F3864" w:sz="18" w:space="8"/>
        </w:pBdr>
        <w:shd w:fill="F4F6FA" w:color="auto" w:val="clear"/>
        <w:spacing w:after="200" w:before="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Aucun chiffre n'est inventé : tout montant non renseigné apparaît en </w:t>
      </w:r>
      <w:r>
        <w:rPr>
          <w:rFonts w:ascii="Consolas" w:cs="Consolas" w:eastAsia="Consolas" w:hAnsi="Consolas"/>
          <w:color w:val="A6262B"/>
          <w:sz w:val="17"/>
          <w:szCs w:val="17"/>
        </w:rPr>
        <w:t xml:space="preserve">[À COMPLÉTER]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.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Préambule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L'annexe fait partie intégrante des comptes annuels. Elle complète et commente l'information donnée par le bilan et le compte de résultat, dont elle est indissociable.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comptes annuels de l'exercice clos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 sont établis conformément aux dispositions du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Code de commerce (art. L.123-12 à L.123-28)</w:t>
      </w:r>
      <w:r>
        <w:rPr>
          <w:rFonts w:ascii="Calibri" w:cs="Calibri" w:eastAsia="Calibri" w:hAnsi="Calibri"/>
          <w:sz w:val="20"/>
          <w:szCs w:val="20"/>
        </w:rPr>
        <w:t xml:space="preserve"> et du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règlement ANC n° 2014-03 relatif au Plan comptable général</w:t>
      </w:r>
      <w:r>
        <w:rPr>
          <w:rFonts w:ascii="Calibri" w:cs="Calibri" w:eastAsia="Calibri" w:hAnsi="Calibri"/>
          <w:sz w:val="20"/>
          <w:szCs w:val="20"/>
        </w:rPr>
        <w:t xml:space="preserve">, ainsi que de ses règlements modificatifs.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La société dépassant les seuils de la catégorie des petites entreprises, l'annexe est établie selon le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modèle de base</w:t>
      </w:r>
      <w:r>
        <w:rPr>
          <w:rFonts w:ascii="Calibri" w:cs="Calibri" w:eastAsia="Calibri" w:hAnsi="Calibri"/>
          <w:sz w:val="20"/>
          <w:szCs w:val="20"/>
        </w:rPr>
        <w:t xml:space="preserve"> (et non le modèle abrégé).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Totaux du bilan et du compte de résultat :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Élément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Total du bilan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Chiffre d'affaires net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Résultat de l'exercice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Effectif moyen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Absence de comparatif.</w:t>
      </w:r>
      <w:r>
        <w:rPr>
          <w:rFonts w:ascii="Calibri" w:cs="Calibri" w:eastAsia="Calibri" w:hAnsi="Calibri"/>
          <w:sz w:val="20"/>
          <w:szCs w:val="20"/>
        </w:rPr>
        <w:t xml:space="preserve"> S'agissant du premier exercice social, les comptes annuels ne comportent pas de colonne relative à l'exercice précédent.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[OPTION — si des comptes pro forma sont présentés, le préciser ici et en expliciter les modalités d'établissement.]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1. FAITS CARACTÉRISTIQUES DE L'EXERCICE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1.1 Constitution de la société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La société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[DÉNOMINATION]</w:t>
      </w:r>
      <w:r>
        <w:rPr>
          <w:rFonts w:ascii="Calibri" w:cs="Calibri" w:eastAsia="Calibri" w:hAnsi="Calibri"/>
          <w:sz w:val="20"/>
          <w:szCs w:val="20"/>
        </w:rPr>
        <w:t xml:space="preserve"> a été constituée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 sous forme de société par actions simplifiée, immatriculée au RCS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[VILLE]</w:t>
      </w:r>
      <w:r>
        <w:rPr>
          <w:rFonts w:ascii="Calibri" w:cs="Calibri" w:eastAsia="Calibri" w:hAnsi="Calibri"/>
          <w:sz w:val="20"/>
          <w:szCs w:val="20"/>
        </w:rPr>
        <w:t xml:space="preserve">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Objet social :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reprendre les statuts]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1.2 Apport partiel d'actif consenti par l'association </w:t>
      </w:r>
      <w:r>
        <w:rPr>
          <w:rFonts w:ascii="Consolas" w:cs="Consolas" w:eastAsia="Consolas" w:hAnsi="Consolas"/>
          <w:color w:val="A6262B"/>
          <w:sz w:val="19"/>
          <w:szCs w:val="19"/>
        </w:rPr>
        <w:t xml:space="preserve">[NOM DE L'ASSOCIATION]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Description de l'opération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Aux termes d'un traité d'apport en date du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, approuvé par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[l'assemblée générale extraordinaire de l'association du [DATE] / l'organe compétent]</w:t>
      </w:r>
      <w:r>
        <w:rPr>
          <w:rFonts w:ascii="Calibri" w:cs="Calibri" w:eastAsia="Calibri" w:hAnsi="Calibri"/>
          <w:sz w:val="20"/>
          <w:szCs w:val="20"/>
        </w:rPr>
        <w:t xml:space="preserve"> et par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[la décision de l'associé unique / l'assemblée générale de la SAS du [DATE]]</w:t>
      </w:r>
      <w:r>
        <w:rPr>
          <w:rFonts w:ascii="Calibri" w:cs="Calibri" w:eastAsia="Calibri" w:hAnsi="Calibri"/>
          <w:sz w:val="20"/>
          <w:szCs w:val="20"/>
        </w:rPr>
        <w:t xml:space="preserve">, l'association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[NOM]</w:t>
      </w:r>
      <w:r>
        <w:rPr>
          <w:rFonts w:ascii="Calibri" w:cs="Calibri" w:eastAsia="Calibri" w:hAnsi="Calibri"/>
          <w:sz w:val="20"/>
          <w:szCs w:val="20"/>
        </w:rPr>
        <w:t xml:space="preserve">, association régie par la loi du 1er juillet 1901, a consenti à la société un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apport partiel d'actif</w:t>
      </w:r>
      <w:r>
        <w:rPr>
          <w:rFonts w:ascii="Calibri" w:cs="Calibri" w:eastAsia="Calibri" w:hAnsi="Calibri"/>
          <w:sz w:val="20"/>
          <w:szCs w:val="20"/>
        </w:rPr>
        <w:t xml:space="preserve"> portant sur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[DÉSIGNATION DE LA BRANCHE D'ACTIVITÉ APPORTÉE]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L'opération a été placée sous le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régime juridique des scissions</w:t>
      </w:r>
      <w:r>
        <w:rPr>
          <w:rFonts w:ascii="Calibri" w:cs="Calibri" w:eastAsia="Calibri" w:hAnsi="Calibri"/>
          <w:sz w:val="20"/>
          <w:szCs w:val="20"/>
        </w:rPr>
        <w:t xml:space="preserve"> prévu aux articles L.236-1 et suivants du Code de commerce.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CONFIRMER dans le traité d'apport — cette option conditionne la transmission universelle du patrimoine de la branche apportée.]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Rémunération de l'apport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En rémunération de cet apport, la société a émis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[NOMBRE]</w:t>
      </w:r>
      <w:r>
        <w:rPr>
          <w:rFonts w:ascii="Calibri" w:cs="Calibri" w:eastAsia="Calibri" w:hAnsi="Calibri"/>
          <w:sz w:val="20"/>
          <w:szCs w:val="20"/>
        </w:rPr>
        <w:t xml:space="preserve"> actions nouvelles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[VALEUR NOMINALE]</w:t>
      </w:r>
      <w:r>
        <w:rPr>
          <w:rFonts w:ascii="Calibri" w:cs="Calibri" w:eastAsia="Calibri" w:hAnsi="Calibri"/>
          <w:sz w:val="20"/>
          <w:szCs w:val="20"/>
        </w:rPr>
        <w:t xml:space="preserve"> € de nominal, attribuées à l'association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[NOM]</w:t>
      </w:r>
      <w:r>
        <w:rPr>
          <w:rFonts w:ascii="Calibri" w:cs="Calibri" w:eastAsia="Calibri" w:hAnsi="Calibri"/>
          <w:sz w:val="20"/>
          <w:szCs w:val="20"/>
        </w:rPr>
        <w:t xml:space="preserve">, soit une augmentation de capital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€, assortie d'une prime d'apport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À l'issue de l'opération, l'association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[NOM]</w:t>
      </w:r>
      <w:r>
        <w:rPr>
          <w:rFonts w:ascii="Calibri" w:cs="Calibri" w:eastAsia="Calibri" w:hAnsi="Calibri"/>
          <w:sz w:val="20"/>
          <w:szCs w:val="20"/>
        </w:rPr>
        <w:t xml:space="preserve"> détient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[X]</w:t>
      </w:r>
      <w:r>
        <w:rPr>
          <w:rFonts w:ascii="Calibri" w:cs="Calibri" w:eastAsia="Calibri" w:hAnsi="Calibri"/>
          <w:sz w:val="20"/>
          <w:szCs w:val="20"/>
        </w:rPr>
        <w:t xml:space="preserve"> % du capital et des droits de vote de la société.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Dates d'effet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/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Signature du traité d'apport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Réalisation définitive de l'apport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Date d'effet comptable et fiscal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[OPTION — SI RÉTROACTIVITÉ]</w:t>
      </w:r>
      <w:r>
        <w:rPr>
          <w:rFonts w:ascii="Calibri" w:cs="Calibri" w:eastAsia="Calibri" w:hAnsi="Calibri"/>
          <w:sz w:val="20"/>
          <w:szCs w:val="20"/>
        </w:rPr>
        <w:t xml:space="preserve"> L'apport a été assorti d'un effet rétroactif au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. En conséquence, les opérations réalisées par l'association au titre de la branche apportée entre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 D'EFFET]</w:t>
      </w:r>
      <w:r>
        <w:rPr>
          <w:rFonts w:ascii="Calibri" w:cs="Calibri" w:eastAsia="Calibri" w:hAnsi="Calibri"/>
          <w:sz w:val="20"/>
          <w:szCs w:val="20"/>
        </w:rPr>
        <w:t xml:space="preserve"> et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 DE RÉALISATION]</w:t>
      </w:r>
      <w:r>
        <w:rPr>
          <w:rFonts w:ascii="Calibri" w:cs="Calibri" w:eastAsia="Calibri" w:hAnsi="Calibri"/>
          <w:sz w:val="20"/>
          <w:szCs w:val="20"/>
        </w:rPr>
        <w:t xml:space="preserve"> ont été reprises dans les comptes de la société. Le résultat de la période intercalaire s'élève à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Méthode d'évaluation des apports</w:t>
      </w:r>
    </w:p>
    <w:p>
      <w:pPr>
        <w:pBdr>
          <w:left w:val="single" w:color="1F3864" w:sz="18" w:space="8"/>
        </w:pBdr>
        <w:shd w:fill="F4F6FA" w:color="auto" w:val="clear"/>
        <w:spacing w:after="60" w:before="120" w:line="276"/>
        <w:ind w:left="240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Point déterminant — deux rédactions alternatives, à retenir selon la situation de contrôle.</w:t>
      </w:r>
    </w:p>
    <w:p>
      <w:pPr>
        <w:pBdr>
          <w:left w:val="single" w:color="1F3864" w:sz="18" w:space="8"/>
        </w:pBdr>
        <w:shd w:fill="F4F6FA" w:color="auto" w:val="clear"/>
        <w:spacing w:after="200" w:before="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Le règlement </w:t>
      </w: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ANC n° 2017-01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(relatif au traitement comptable des fusions et opérations assimilées) impose la valeur d'apport en fonction du croisement de deux critères : le </w:t>
      </w: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sens de l'opération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et l'existence ou non d'une </w:t>
      </w: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situation de contrôle commun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entre l'entité apporteuse et l'entité bénéficiaire.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Rédaction A — opérations impliquant des entités sous contrôle commun</w:t>
      </w:r>
      <w:r>
        <w:rPr>
          <w:rFonts w:ascii="Calibri" w:cs="Calibri" w:eastAsia="Calibri" w:hAnsi="Calibri"/>
          <w:sz w:val="20"/>
          <w:szCs w:val="20"/>
        </w:rPr>
        <w:t xml:space="preserve"> *(l'association contrôle la SAS après l'opération)*</w:t>
      </w:r>
    </w:p>
    <w:p>
      <w:pPr>
        <w:pBdr>
          <w:left w:val="single" w:color="1F3864" w:sz="18" w:space="8"/>
        </w:pBdr>
        <w:shd w:fill="F4F6FA" w:color="auto" w:val="clear"/>
        <w:spacing w:after="200" w:before="12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Les entités participant à l'opération étant, à la date de réalisation, sous contrôle commun au sens du règlement ANC n° 2017-01, les actifs apportés et les passifs pris en charge ont été </w:t>
      </w: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transcrits à leur valeur comptable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telle qu'elle figurait dans les comptes de l'association </w:t>
      </w:r>
      <w:r>
        <w:rPr>
          <w:rFonts w:ascii="Consolas" w:cs="Consolas" w:eastAsia="Consolas" w:hAnsi="Consolas"/>
          <w:color w:val="A6262B"/>
          <w:sz w:val="17"/>
          <w:szCs w:val="17"/>
        </w:rPr>
        <w:t xml:space="preserve">[NOM]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à la date d'effet de l'opération.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Rédaction B — opérations impliquant des entités sous contrôle distinct</w:t>
      </w:r>
    </w:p>
    <w:p>
      <w:pPr>
        <w:pBdr>
          <w:left w:val="single" w:color="1F3864" w:sz="18" w:space="8"/>
        </w:pBdr>
        <w:shd w:fill="F4F6FA" w:color="auto" w:val="clear"/>
        <w:spacing w:after="200" w:before="12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Les entités participant à l'opération étant sous contrôle distinct et l'opération constituant </w:t>
      </w:r>
      <w:r>
        <w:rPr>
          <w:rFonts w:ascii="Consolas" w:cs="Consolas" w:eastAsia="Consolas" w:hAnsi="Consolas"/>
          <w:color w:val="A6262B"/>
          <w:sz w:val="17"/>
          <w:szCs w:val="17"/>
        </w:rPr>
        <w:t xml:space="preserve">[un apport à l'endroit / un apport à l'envers]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au sens du règlement ANC n° 2017-01, les actifs apportés et les passifs pris en charge ont été </w:t>
      </w: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transcrits à leur valeur réelle</w:t>
      </w:r>
      <w:r>
        <w:rPr>
          <w:rFonts w:ascii="Calibri" w:cs="Calibri" w:eastAsia="Calibri" w:hAnsi="Calibri"/>
          <w:color w:val="333333"/>
          <w:sz w:val="19"/>
          <w:szCs w:val="19"/>
        </w:rPr>
        <w:t xml:space="preserve"> à la date d'effet de l'opération, telle qu'elle ressort du traité d'apport et du rapport du commissaire aux apports.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Détail de l'apport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Élément apporté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ACTIF APPORTÉ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Immobilisations incorporelles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Immobilisations corporelles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Immobilisations financières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Stocks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Créances d'exploitation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Disponibilités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actif apporté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PASSIF PRIS EN CHARGE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Provisions pour risques et charges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Dettes financières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Dettes d'exploitation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passif pris en charge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ACTIF NET APPORTÉ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Rapport du commissaire aux apports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L'apport a fait l'objet d'un rapport établi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 par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 DU COMMISSAIRE AUX APPORTS]</w:t>
      </w:r>
      <w:r>
        <w:rPr>
          <w:rFonts w:ascii="Calibri" w:cs="Calibri" w:eastAsia="Calibri" w:hAnsi="Calibri"/>
          <w:sz w:val="20"/>
          <w:szCs w:val="20"/>
        </w:rPr>
        <w:t xml:space="preserve">, désigné par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[ordonnance du président du tribunal de commerce de [VILLE] en date du [DATE] / décision des associés]</w:t>
      </w:r>
      <w:r>
        <w:rPr>
          <w:rFonts w:ascii="Calibri" w:cs="Calibri" w:eastAsia="Calibri" w:hAnsi="Calibri"/>
          <w:sz w:val="20"/>
          <w:szCs w:val="20"/>
        </w:rPr>
        <w:t xml:space="preserve">, concluant que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[la valeur des apports n'est pas surévaluée / À COMPLÉTER]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Mali / boni technique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APPLICABLE]</w:t>
      </w:r>
      <w:r>
        <w:rPr>
          <w:rFonts w:ascii="Calibri" w:cs="Calibri" w:eastAsia="Calibri" w:hAnsi="Calibri"/>
          <w:sz w:val="20"/>
          <w:szCs w:val="20"/>
        </w:rPr>
        <w:t xml:space="preserve"> L'opération a dégagé un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[mali / boni]</w:t>
      </w:r>
      <w:r>
        <w:rPr>
          <w:rFonts w:ascii="Calibri" w:cs="Calibri" w:eastAsia="Calibri" w:hAnsi="Calibri"/>
          <w:sz w:val="20"/>
          <w:szCs w:val="20"/>
        </w:rPr>
        <w:t xml:space="preserve">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€, dont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[mali technique / boni]</w:t>
      </w:r>
      <w:r>
        <w:rPr>
          <w:rFonts w:ascii="Calibri" w:cs="Calibri" w:eastAsia="Calibri" w:hAnsi="Calibri"/>
          <w:sz w:val="20"/>
          <w:szCs w:val="20"/>
        </w:rPr>
        <w:t xml:space="preserve">, affecté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[au poste « Fonds commercial » à hauteur de [MONTANT] € / en résultat financier / À COMPLÉTER]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[Détailler l'affectation extra-comptable du mali technique aux actifs sous-jacents porteurs de plus-values latentes — cf. tableau en note 3.x.]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NON APPLICABLE]</w:t>
      </w:r>
      <w:r>
        <w:rPr>
          <w:rFonts w:ascii="Calibri" w:cs="Calibri" w:eastAsia="Calibri" w:hAnsi="Calibri"/>
          <w:sz w:val="20"/>
          <w:szCs w:val="20"/>
        </w:rPr>
        <w:t xml:space="preserve"> L'opération n'a dégagé ni mali ni boni, l'apport étant rémunéré à hauteur exacte de l'actif net apporté.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1.3 Régime fiscal de l'opération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[OPTION]</w:t>
      </w:r>
      <w:r>
        <w:rPr>
          <w:rFonts w:ascii="Calibri" w:cs="Calibri" w:eastAsia="Calibri" w:hAnsi="Calibri"/>
          <w:sz w:val="20"/>
          <w:szCs w:val="20"/>
        </w:rPr>
        <w:t xml:space="preserve"> L'apport partiel d'actif a été placé sous le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régime de faveur</w:t>
      </w:r>
      <w:r>
        <w:rPr>
          <w:rFonts w:ascii="Calibri" w:cs="Calibri" w:eastAsia="Calibri" w:hAnsi="Calibri"/>
          <w:sz w:val="20"/>
          <w:szCs w:val="20"/>
        </w:rPr>
        <w:t xml:space="preserve"> des articles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210 A et 210 B du Code général des impôts</w:t>
      </w:r>
      <w:r>
        <w:rPr>
          <w:rFonts w:ascii="Calibri" w:cs="Calibri" w:eastAsia="Calibri" w:hAnsi="Calibri"/>
          <w:sz w:val="20"/>
          <w:szCs w:val="20"/>
        </w:rPr>
        <w:t xml:space="preserve">, la société s'étant engagée, aux termes du traité d'apport, à respecter les engagements prévus par ces dispositions, notamment :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>reprise à son passif des provisions dont l'imposition a été différée chez l'apporteuse ;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>calcul des plus-values ultérieures de cession des immobilisations non amortissables d'après la valeur qu'elles avaient, du point de vue fiscal, dans les écritures de l'association ;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alibri" w:cs="Calibri" w:eastAsia="Calibri" w:hAnsi="Calibri"/>
          <w:sz w:val="20"/>
          <w:szCs w:val="20"/>
        </w:rPr>
        <w:t xml:space="preserve">réintégration dans ses résultats des plus-values dégagées lors de l'apport des biens amortissables ;</w:t>
      </w:r>
    </w:p>
    <w:p>
      <w:pPr>
        <w:pStyle w:val="ListParagraph"/>
        <w:numPr>
          <w:ilvl w:val="0"/>
          <w:numId w:val="1"/>
        </w:numPr>
        <w:spacing w:after="6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[autres engagements — À COMPLÉTER depuis le traité]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AGRÉMENT]</w:t>
      </w:r>
      <w:r>
        <w:rPr>
          <w:rFonts w:ascii="Calibri" w:cs="Calibri" w:eastAsia="Calibri" w:hAnsi="Calibri"/>
          <w:sz w:val="20"/>
          <w:szCs w:val="20"/>
        </w:rPr>
        <w:t xml:space="preserve"> L'opération a fait l'objet d'un agrément ministériel délivré le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 sous le n°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[RÉFÉRENCE]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Assujettissement à l'impôt sur les sociétés.</w:t>
      </w:r>
      <w:r>
        <w:rPr>
          <w:rFonts w:ascii="Calibri" w:cs="Calibri" w:eastAsia="Calibri" w:hAnsi="Calibri"/>
          <w:sz w:val="20"/>
          <w:szCs w:val="20"/>
        </w:rPr>
        <w:t xml:space="preserve"> L'association apporteuse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[était non assujettie / était partiellement assujettie]</w:t>
      </w:r>
      <w:r>
        <w:rPr>
          <w:rFonts w:ascii="Calibri" w:cs="Calibri" w:eastAsia="Calibri" w:hAnsi="Calibri"/>
          <w:sz w:val="20"/>
          <w:szCs w:val="20"/>
        </w:rPr>
        <w:t xml:space="preserve"> à l'impôt sur les sociétés au titre de l'activité apportée. La société, constituée sous forme de SAS, est assujettie à l'impôt sur les sociétés dans les conditions de droit commun depuis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[Préciser, le cas échéant, les conséquences sur les valeurs fiscales d'entrée des actifs et l'absence de transfert des déficits.]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1.4 Transfert des contrats de travail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contrats de travail des salariés affectés à la branche d'activité apportée ont été transférés de plein droit à la société en application de l'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article L.1224-1 du Code du travail</w:t>
      </w:r>
      <w:r>
        <w:rPr>
          <w:rFonts w:ascii="Calibri" w:cs="Calibri" w:eastAsia="Calibri" w:hAnsi="Calibri"/>
          <w:sz w:val="20"/>
          <w:szCs w:val="20"/>
        </w:rPr>
        <w:t xml:space="preserve">, à la date du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[DATE]</w:t>
      </w:r>
      <w:r>
        <w:rPr>
          <w:rFonts w:ascii="Calibri" w:cs="Calibri" w:eastAsia="Calibri" w:hAnsi="Calibri"/>
          <w:sz w:val="20"/>
          <w:szCs w:val="20"/>
        </w:rPr>
        <w:t xml:space="preserve">, pour un effectif 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[NOMBRE]</w:t>
      </w:r>
      <w:r>
        <w:rPr>
          <w:rFonts w:ascii="Calibri" w:cs="Calibri" w:eastAsia="Calibri" w:hAnsi="Calibri"/>
          <w:sz w:val="20"/>
          <w:szCs w:val="20"/>
        </w:rPr>
        <w:t xml:space="preserve"> salariés.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L'ancienneté acquise au sein de l'association a été reprise. Les engagements correspondants (indemnités de départ à la retraite, comptes épargne-temps, congés payés,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[autres]</w:t>
      </w:r>
      <w:r>
        <w:rPr>
          <w:rFonts w:ascii="Calibri" w:cs="Calibri" w:eastAsia="Calibri" w:hAnsi="Calibri"/>
          <w:sz w:val="20"/>
          <w:szCs w:val="20"/>
        </w:rPr>
        <w:t xml:space="preserve">) figurent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[au passif du bilan / en engagements hors bilan]</w:t>
      </w:r>
      <w:r>
        <w:rPr>
          <w:rFonts w:ascii="Calibri" w:cs="Calibri" w:eastAsia="Calibri" w:hAnsi="Calibri"/>
          <w:sz w:val="20"/>
          <w:szCs w:val="20"/>
        </w:rPr>
        <w:t xml:space="preserve"> — cf. notes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[X]</w:t>
      </w:r>
      <w:r>
        <w:rPr>
          <w:rFonts w:ascii="Calibri" w:cs="Calibri" w:eastAsia="Calibri" w:hAnsi="Calibri"/>
          <w:sz w:val="20"/>
          <w:szCs w:val="20"/>
        </w:rPr>
        <w:t xml:space="preserve"> et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[Y]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APPLICABLE]</w:t>
      </w:r>
      <w:r>
        <w:rPr>
          <w:rFonts w:ascii="Calibri" w:cs="Calibri" w:eastAsia="Calibri" w:hAnsi="Calibri"/>
          <w:sz w:val="20"/>
          <w:szCs w:val="20"/>
        </w:rPr>
        <w:t xml:space="preserve"> Le statut collectif applicable aux salariés transférés (convention collective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 / IDCC]</w:t>
      </w:r>
      <w:r>
        <w:rPr>
          <w:rFonts w:ascii="Calibri" w:cs="Calibri" w:eastAsia="Calibri" w:hAnsi="Calibri"/>
          <w:sz w:val="20"/>
          <w:szCs w:val="20"/>
        </w:rPr>
        <w:t xml:space="preserve">, accords d'entreprise) a été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[mis en cause / maintenu]</w:t>
      </w:r>
      <w:r>
        <w:rPr>
          <w:rFonts w:ascii="Calibri" w:cs="Calibri" w:eastAsia="Calibri" w:hAnsi="Calibri"/>
          <w:sz w:val="20"/>
          <w:szCs w:val="20"/>
        </w:rPr>
        <w:t xml:space="preserve"> dans les conditions de l'article L.2261-14 du Code du travail.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[Décrire l'état des négociations et l'éventuelle provision constituée.]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1.5 Transfert des agréments, autorisations et conventions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APPLICABLE — fréquent pour une activité issue du secteur associatif]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agréments, habilitations et conventions suivants ont été transférés à la société :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[LISTE]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[Préciser pour chacun : autorité délivrante, date d'effet du transfert, échéance, conditions particulières.]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[Signaler tout agrément non encore transféré à la date de clôture et l'incidence éventuelle sur l'activité.]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1.6 Autres faits caractéristiques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financements mis en place, acquisitions, litiges nés au cours de l'exercice, changement de gouvernance, etc. Supprimer la rubrique si sans objet.]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2. RÈGLES ET MÉTHODES COMPTABLES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2.1 Principes généraux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comptes annuels sont établis conformément aux dispositions du Code de commerce et du Plan comptable général (règlement ANC n° 2014-03 et ses modificatifs), dans le respect des principes de prudence, d'indépendance des exercices, de permanence des méthodes et de continuité de l'exploitation.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La méthode de base retenue pour l'évaluation des éléments inscrits en comptabilité est la méthode des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coûts historiques</w:t>
      </w:r>
      <w:r>
        <w:rPr>
          <w:rFonts w:ascii="Calibri" w:cs="Calibri" w:eastAsia="Calibri" w:hAnsi="Calibri"/>
          <w:sz w:val="20"/>
          <w:szCs w:val="20"/>
        </w:rPr>
        <w:t xml:space="preserve">, sous réserve des éléments apportés dans le cadre de l'apport partiel d'actif, évalués selon les modalités décrites en note 1.2.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Continuité d'exploitation.</w:t>
      </w:r>
      <w:r>
        <w:rPr>
          <w:rFonts w:ascii="Calibri" w:cs="Calibri" w:eastAsia="Calibri" w:hAnsi="Calibri"/>
          <w:sz w:val="20"/>
          <w:szCs w:val="20"/>
        </w:rPr>
        <w:t xml:space="preserve">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[Les comptes ont été établis selon le principe de continuité d'exploitation. / SI INCERTITUDE : décrire précisément les éléments d'incertitude, les hypothèses retenues (prévisionnel, soutien de l'actionnaire, financements confirmés) et leur incidence.]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Changements de méthode.</w:t>
      </w:r>
      <w:r>
        <w:rPr>
          <w:rFonts w:ascii="Calibri" w:cs="Calibri" w:eastAsia="Calibri" w:hAnsi="Calibri"/>
          <w:sz w:val="20"/>
          <w:szCs w:val="20"/>
        </w:rPr>
        <w:t xml:space="preserve"> S'agissant du premier exercice, aucun changement de méthode comptable n'est intervenu.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2.2 Immobilisations incorporelles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immobilisations incorporelles sont évaluées à leur coût d'acquisition ou, pour les biens reçus par voie d'apport, à leur valeur d'apport.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Catégorie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Durée d'amortissement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Mode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Logiciels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[linéaire]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Frais de développement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[linéaire]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Fonds commercial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[non amorti / amorti sur [N] ans]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le fonds commercial n'est pas amorti : préciser qu'il fait l'objet d'un test de dépréciation au moins une fois par exercice. Si amorti : justifier la durée d'utilisation, ou l'application de la présomption de 10 ans applicable aux petites entreprises — à écarter ici compte tenu de la taille.]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2.3 Immobilisations corporelles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immobilisations corporelles sont évaluées à leur coût d'acquisition (prix d'achat, frais accessoires) ou à leur valeur d'apport. Elles sont amorties linéairement sur leur durée réelle d'utilisation :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Catégorie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Durée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Constructions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Agencements et aménagements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Installations techniques, matériel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Matériel de transport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Matériel de bureau et informatique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Mobilier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[Le cas échéant : approche par composants retenue pour les constructions — décrire les composants et leurs durées.]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Une dépréciation est constatée lorsque la valeur actuelle d'un actif devient inférieure à sa valeur nette comptable.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2.4 Immobilisations financières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titres de participation évalués à leur coût d'acquisition ; dépréciation constatée par référence à la quote-part de capitaux propres et aux perspectives de rentabilité.]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2.5 Stocks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stocks sont évalués selon la méthode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[du coût unitaire moyen pondéré / FIFO]</w:t>
      </w:r>
      <w:r>
        <w:rPr>
          <w:rFonts w:ascii="Calibri" w:cs="Calibri" w:eastAsia="Calibri" w:hAnsi="Calibri"/>
          <w:sz w:val="20"/>
          <w:szCs w:val="20"/>
        </w:rPr>
        <w:t xml:space="preserve">. Une dépréciation est constatée lorsque la valeur nette de réalisation est inférieure au coût d'entrée.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[Supprimer si sans objet.]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2.6 Créances et dettes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créances et les dettes sont valorisées à leur valeur nominale. Les créances font l'objet d'une dépréciation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[appréciée au cas par cas / selon une matrice d'antériorité — décrire]</w:t>
      </w:r>
      <w:r>
        <w:rPr>
          <w:rFonts w:ascii="Calibri" w:cs="Calibri" w:eastAsia="Calibri" w:hAnsi="Calibri"/>
          <w:sz w:val="20"/>
          <w:szCs w:val="20"/>
        </w:rPr>
        <w:t xml:space="preserve"> lorsqu'il existe un risque de non-recouvrement.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2.7 Subventions d'investissement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[POINT SPÉCIFIQUE À L'ORIGINE ASSOCIATIVE — à traiter systématiquement.]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subventions d'investissement transférées dans le cadre de l'apport, ainsi que celles obtenues au cours de l'exercice, sont inscrites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[au passif du bilan, poste « Subventions d'investissement »]</w:t>
      </w:r>
      <w:r>
        <w:rPr>
          <w:rFonts w:ascii="Calibri" w:cs="Calibri" w:eastAsia="Calibri" w:hAnsi="Calibri"/>
          <w:sz w:val="20"/>
          <w:szCs w:val="20"/>
        </w:rPr>
        <w:t xml:space="preserve"> et reprises au compte de résultat au même rythme que l'amortissement des biens qu'elles ont financés.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[Préciser le traitement retenu pour les subventions assorties d'une clause de reversement ou d'inaliénabilité, et la valeur d'entrée des subventions non encore rapportées au résultat à la date d'apport.]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2.8 Fonds dédiés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[POINT SPÉCIFIQUE — le Plan comptable général applicable aux SAS ne prévoit pas la technique des fonds dédiés (propre au règlement ANC n° 2018-06 applicable aux personnes morales de droit privé à but non lucratif).]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DES FONDS DÉDIÉS FIGURAIENT DANS LES COMPTES DE L'ASSOCIATION AU TITRE DE LA BRANCHE APPORTÉE : décrire le traitement retenu lors de la transcription — reclassement en produits constatés d'avance, en dettes, en provisions, ou reprise en résultat — et justifier ce choix. Sujet à valider expressément avec le commissaire aux comptes.]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[Supprimer la note si sans objet.]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2.9 Engagements de retraite et avantages assimilés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indemnités de départ à la retraite sont évaluées selon la méthode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[des unités de crédit projetées]</w:t>
      </w:r>
      <w:r>
        <w:rPr>
          <w:rFonts w:ascii="Calibri" w:cs="Calibri" w:eastAsia="Calibri" w:hAnsi="Calibri"/>
          <w:sz w:val="20"/>
          <w:szCs w:val="20"/>
        </w:rPr>
        <w:t xml:space="preserve">, en tenant compte de l'ancienneté reprise au titre du transfert des contrats de travail.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Hypothèse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Valeur retenue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Taux d'actualisation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%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Taux de progression des salaires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%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Taux de charges sociales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%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Table de mortalité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Âge de départ retenu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Turnover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[À COMPLÉTER]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Méthode retenue :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[provisionnement au bilan (méthode préférentielle, art. 324-1 PCG) / mention en engagement hors bilan]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la méthode préférentielle est adoptée dès le premier exercice, le préciser explicitement.]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2.10 Provisions pour risques et charges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Une provision est constatée lorsqu'il existe une obligation à l'égard d'un tiers, résultant d'un événement passé, dont il est probable ou certain qu'elle provoquera une sortie de ressources sans contrepartie au moins équivalente.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2.11 Chiffre d'affaires — comptabilisation des produits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décrire le fait générateur par nature de produit : ventes de biens (transfert de propriété), prestations de services (avancement / achèvement), subventions d'exploitation, contributions publiques, cotisations, etc. Point à soigner compte tenu de l'origine associative de l'activité.]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2.12 Impôt sur les sociétés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La société est assujettie à l'impôt sur les sociétés dans les conditions de droit commun. Les comptes annuels étant établis en normes françaises, aucun impôt différé n'est constaté.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[Mentionner, le cas échéant, l'existence d'un régime d'intégration fiscale — sans objet a priori, l'association ne pouvant être tête de groupe.]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3. NOTES SUR LE BILAN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 Immobilisations — état de l'actif immobilisé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1372"/>
        <w:gridCol w:w="1372"/>
        <w:gridCol w:w="1372"/>
        <w:gridCol w:w="1372"/>
        <w:gridCol w:w="1372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Rubrique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Valeur brute à l'ouverture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Apport partiel d'actif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Augmentations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Diminutions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Valeur brute à la clôture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Immobilisations incorporelles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Immobilisations corporelles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Immobilisations financières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Total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Bdr>
          <w:left w:val="single" w:color="1F3864" w:sz="18" w:space="8"/>
        </w:pBdr>
        <w:shd w:fill="F4F6FA" w:color="auto" w:val="clear"/>
        <w:spacing w:after="200" w:before="120" w:line="276"/>
        <w:ind w:left="24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Le poste d'ouverture est nul, l'exercice étant le premier de la société. La colonne « Apport partiel d'actif » isole les valeurs d'entrée issues de l'opération décrite en note 1.2.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3.2 Amortissements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1372"/>
        <w:gridCol w:w="1372"/>
        <w:gridCol w:w="1372"/>
        <w:gridCol w:w="1372"/>
        <w:gridCol w:w="1372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Rubrique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l'ouverture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Apport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Dotations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Reprises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la clôture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CONTRÔLE COMMUN / VALEURS COMPTABLES : les amortissements pratiqués par l'association sont repris à l'identique — le préciser.]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VALEURS RÉELLES : les biens sont inscrits pour leur valeur réelle et amortis sur leur durée d'utilisation résiduelle — le préciser.]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3.3 Dépréciations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1372"/>
        <w:gridCol w:w="1372"/>
        <w:gridCol w:w="1372"/>
        <w:gridCol w:w="1372"/>
        <w:gridCol w:w="1372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Nature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l'ouverture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Apport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Dotations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Reprises</w:t>
            </w:r>
          </w:p>
        </w:tc>
        <w:tc>
          <w:tcPr>
            <w:tcW w:type="dxa" w:w="1372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la clôture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37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3.4 Affectation extra-comptable du mali technique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MALI TECHNIQUE — obligatoire, cf. ANC 2017-01.]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Actif sous-jacent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Valeur d'affectation (€)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Suivi ultérieur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[dépréciation en cas de perte de valeur de l'actif sous-jacent]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 mali technique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[Supprimer si sans objet.]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3.5 Stocks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2046"/>
        <w:gridCol w:w="2046"/>
        <w:gridCol w:w="204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Nature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Brut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Dépréciation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Net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3.6 État des créances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2046"/>
        <w:gridCol w:w="2046"/>
        <w:gridCol w:w="204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Rubrique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brut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À 1 an au plus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À plus d'1 an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Créances clients et comptes rattachés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Autres créances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Créances sur l'association </w:t>
            </w: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[NOM]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3.7 Produits à recevoir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Poste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3.8 Charges constatées d'avance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montant et nature.]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3.9 Capitaux propres — variation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980"/>
        <w:gridCol w:w="980"/>
        <w:gridCol w:w="980"/>
        <w:gridCol w:w="980"/>
        <w:gridCol w:w="980"/>
        <w:gridCol w:w="980"/>
        <w:gridCol w:w="980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/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Capital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Prime d'apport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Réserves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Report à nouveau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Résultat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Subv. d'inv.</w:t>
            </w:r>
          </w:p>
        </w:tc>
        <w:tc>
          <w:tcPr>
            <w:tcW w:type="dxa" w:w="98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Total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À la constitution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Augmentation de capital — apport partiel d'actif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[Autres mouvements]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Résultat de l'exercice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À la clôture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9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Composition du capital social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Catégorie de titres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Nombre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Valeur nominale (€)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Actions ordinaires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[Actions de préférence — le cas échéant, décrire les droits particuliers]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Répartition du capital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2046"/>
        <w:gridCol w:w="2046"/>
        <w:gridCol w:w="204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Actionnaire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Nombre d'actions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% capital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% droits de vote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Association </w:t>
            </w: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[NOM]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3.10 Subventions d'investissement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/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Reçues au titre de l'apport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Reçues au cours de l'exercice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Quote-part reprise au résultat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(…)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Solde à la clôture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3.11 Provisions pour risques et charges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1143"/>
        <w:gridCol w:w="1143"/>
        <w:gridCol w:w="1143"/>
        <w:gridCol w:w="1143"/>
        <w:gridCol w:w="1143"/>
        <w:gridCol w:w="1145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Nature</w:t>
            </w:r>
          </w:p>
        </w:tc>
        <w:tc>
          <w:tcPr>
            <w:tcW w:type="dxa" w:w="114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l'ouverture</w:t>
            </w:r>
          </w:p>
        </w:tc>
        <w:tc>
          <w:tcPr>
            <w:tcW w:type="dxa" w:w="114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Apport</w:t>
            </w:r>
          </w:p>
        </w:tc>
        <w:tc>
          <w:tcPr>
            <w:tcW w:type="dxa" w:w="114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Dotations</w:t>
            </w:r>
          </w:p>
        </w:tc>
        <w:tc>
          <w:tcPr>
            <w:tcW w:type="dxa" w:w="114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Reprises utilisées</w:t>
            </w:r>
          </w:p>
        </w:tc>
        <w:tc>
          <w:tcPr>
            <w:tcW w:type="dxa" w:w="114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Reprises non utilisées</w:t>
            </w:r>
          </w:p>
        </w:tc>
        <w:tc>
          <w:tcPr>
            <w:tcW w:type="dxa" w:w="1145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À la clôture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Provisions pour litiges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Provisions pour engagements de retraite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[Autres]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Total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0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114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[Pour chaque litige significatif : décrire la nature du risque sans compromettre la position de la société.]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3.12 État des dettes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1534"/>
        <w:gridCol w:w="1534"/>
        <w:gridCol w:w="1534"/>
        <w:gridCol w:w="153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Rubrique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Montant brut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À 1 an au plus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De 1 à 5 ans</w:t>
            </w:r>
          </w:p>
        </w:tc>
        <w:tc>
          <w:tcPr>
            <w:tcW w:type="dxa" w:w="153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À plus de 5 ans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Emprunts auprès des établissements de crédit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Dettes fournisseurs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—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Dettes fiscales et sociales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—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—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Dettes envers l'association </w:t>
            </w: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[NOM]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5"/>
                <w:szCs w:val="15"/>
              </w:rPr>
              <w:t xml:space="preserve">Autres dettes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5"/>
                <w:szCs w:val="15"/>
              </w:rPr>
              <w:t xml:space="preserve">Total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[Mentionner les covenants bancaires, garanties et sûretés consenties.]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3.13 Charges à payer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Poste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3.14 Produits constatés d'avance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3.15 Éléments concernant les entreprises liées et les parties liées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Poste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concernant les entreprises liées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Créances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Dettes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Charges financières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Produits financiers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4. NOTES SUR LE COMPTE DE RÉSULTAT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4.1 Ventilation du chiffre d'affaires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 activité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Activité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%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 zone géographique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Zone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%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France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Export / UE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[La ventilation peut être omise si sa publication est de nature à porter gravement préjudice à la société — dans ce cas, mentionner expressément l'usage de cette faculté.]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4.2 Autres produits d'exploitation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COMPLÉTER — subventions d'exploitation, quote-part de subventions d'investissement virée au résultat, transferts de charges.]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4.3 Charges de personnel et effectif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/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/ Nombre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Salaires et traitements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€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Charges sociales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  <w:r>
              <w:rPr>
                <w:rFonts w:ascii="Calibri" w:cs="Calibri" w:eastAsia="Calibri" w:hAnsi="Calibri"/>
                <w:sz w:val="17"/>
                <w:szCs w:val="17"/>
              </w:rPr>
              <w:t xml:space="preserve"> €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Effectif moyen de l'exercice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dont cadres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dont non-cadres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Effectif à la clôture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[Préciser que l'effectif inclut les salariés transférés au titre de l'article L.1224-1, et le prorata retenu compte tenu de la durée du premier exercice.]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4.4 Rémunération des organes de direction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 global des rémunérations allouées au titre de l'exercice aux membres des organes de direction : [MONTANT] €.]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[FACULTÉ D'OMISSION : cette information peut être omise lorsqu'elle permet d'identifier la situation d'un membre déterminé de ces organes. Si cette faculté est utilisée, le mentionner explicitement plutôt que de rester silencieux.]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4.5 Résultat financier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Poste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Produits financiers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Charges d'intérêts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Résultat financier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4.6 Résultat exceptionnel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Nature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Charges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Produits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[Préciser le traitement des éléments liés à l'apport partiel d'actif ayant transité par le résultat exceptionnel.]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4.7 Impôt sur les bénéfices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Ventilation de l'impôt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2046"/>
        <w:gridCol w:w="2046"/>
        <w:gridCol w:w="204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/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Résultat avant impôt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Impôt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Résultat net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Résultat courant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Résultat exceptionnel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Accroissements et allègements de la dette future d'impôt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Nature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Base (€)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Effet impôt (€)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Provisions non déductibles l'année de leur comptabilisation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Organic, participation, autres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Déficits reportables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[Rappeler que les déficits antérieurs de l'association ne sont pas transférés à la société, sauf agrément — cf. note 1.3.]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5. AUTRES INFORMATIONS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5.1 Engagements financiers hors bilan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Nature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Engagements donnés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Cautions, avals et garanties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Nantissements, hypothèques, sûretés réelles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Engagements de crédit-bail (redevances restant à payer)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Engagements de retraite non provisionnés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Loyers restant à payer sur baux fermes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Engagements reçus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— </w:t>
            </w: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[SPÉCIFIQUE APA ASSOCIATIF — mentionner impérativement s'ils existent : clauses de retour des biens à l'association, droits de reprise sur subventions, clauses d'inaliénabilité, engagements de maintien de l'activité ou de l'emploi, garanties d'actif et de passif consenties ou reçues au titre du traité d'apport.]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5.2 Crédit-bail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1534"/>
        <w:gridCol w:w="1534"/>
        <w:gridCol w:w="1534"/>
        <w:gridCol w:w="153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Poste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Valeur d'origine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Amortissements théoriques cumulés</w:t>
            </w:r>
          </w:p>
        </w:tc>
        <w:tc>
          <w:tcPr>
            <w:tcW w:type="dxa" w:w="1534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Redevances payées sur l'exercice</w:t>
            </w:r>
          </w:p>
        </w:tc>
        <w:tc>
          <w:tcPr>
            <w:tcW w:type="dxa" w:w="153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5"/>
                <w:szCs w:val="15"/>
              </w:rPr>
              <w:t xml:space="preserve">Redevances restant à payer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  <w:tc>
          <w:tcPr>
            <w:tcW w:type="dxa" w:w="153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3"/>
                <w:szCs w:val="13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5.3 Transactions avec les parties liées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[Informations sur les transactions conclues avec des parties liées lorsqu'elles présentent une importance significative ET qu'elles n'ont pas été conclues aux conditions normales de marché : nature de la relation, montant, et toute information nécessaire à la compréhension de la situation financière.]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[POINT DE VIGILANCE — l'association demeurant actionnaire, recenser systématiquement : conventions de prestations de services, mises à disposition de personnel, refacturations de frais de structure, baux, conventions de trésorerie, licences de marque. Ces conventions relèvent également de la procédure des conventions réglementées (art. L.227-10 du Code de commerce) et du rapport du commissaire aux comptes.]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888"/>
        <w:gridCol w:w="2046"/>
        <w:gridCol w:w="2046"/>
        <w:gridCol w:w="2046"/>
      </w:tblGrid>
      <w:tr>
        <w:trPr>
          <w:tblHeader/>
        </w:trPr>
        <w:tc>
          <w:tcPr>
            <w:tcW w:type="dxa" w:w="2888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Partie liée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Nature de la transaction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  <w:tc>
          <w:tcPr>
            <w:tcW w:type="dxa" w:w="204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Conditions</w:t>
            </w:r>
          </w:p>
        </w:tc>
      </w:tr>
      <w:tr>
        <w:trPr>
          <w:tblHeader w:val="false"/>
        </w:trPr>
        <w:tc>
          <w:tcPr>
            <w:tcW w:type="dxa" w:w="288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Association </w:t>
            </w: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[NOM]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  <w:tc>
          <w:tcPr>
            <w:tcW w:type="dxa" w:w="20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5.4 Honoraires du commissaire aux comptes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[Information requise pour les sociétés établissant des comptes consolidés ; à inclure si la société entre dans le champ, ou par choix de transparence.]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/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 HT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Certification des comptes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Services autres que la certification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5.5 Identité de la société consolidante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L'ASSOCIATION [NOM] ÉTABLIT DES COMPTES COMBINÉS OU CONSOLIDÉS :]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Les comptes de la société sont inclus selon la méthode de l'intégration globale dans les comptes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[consolidés / combinés]</w:t>
      </w:r>
      <w:r>
        <w:rPr>
          <w:rFonts w:ascii="Calibri" w:cs="Calibri" w:eastAsia="Calibri" w:hAnsi="Calibri"/>
          <w:sz w:val="20"/>
          <w:szCs w:val="20"/>
        </w:rPr>
        <w:t xml:space="preserve"> établis par l'association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[NOM]</w:t>
      </w:r>
      <w:r>
        <w:rPr>
          <w:rFonts w:ascii="Calibri" w:cs="Calibri" w:eastAsia="Calibri" w:hAnsi="Calibri"/>
          <w:sz w:val="20"/>
          <w:szCs w:val="20"/>
        </w:rPr>
        <w:t xml:space="preserve">, dont le siège est situé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[ADRESSE]</w:t>
      </w:r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[SI LA SOCIÉTÉ EST ELLE-MÊME TÊTE D'UN GROUPE : indiquer si elle établit des comptes consolidés ou si elle en est dispensée, et à quel titre.]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5.6 Filiales et participations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2166"/>
        <w:gridCol w:w="857"/>
        <w:gridCol w:w="857"/>
        <w:gridCol w:w="857"/>
        <w:gridCol w:w="857"/>
        <w:gridCol w:w="857"/>
        <w:gridCol w:w="857"/>
        <w:gridCol w:w="857"/>
        <w:gridCol w:w="861"/>
      </w:tblGrid>
      <w:tr>
        <w:trPr>
          <w:tblHeader/>
        </w:trPr>
        <w:tc>
          <w:tcPr>
            <w:tcW w:type="dxa" w:w="216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Société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Capital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Capitaux propres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Quote-part détenue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Valeur brute des titres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Valeur nette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Prêts et avances</w:t>
            </w:r>
          </w:p>
        </w:tc>
        <w:tc>
          <w:tcPr>
            <w:tcW w:type="dxa" w:w="8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CA</w:t>
            </w:r>
          </w:p>
        </w:tc>
        <w:tc>
          <w:tcPr>
            <w:tcW w:type="dxa" w:w="861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4"/>
                <w:szCs w:val="14"/>
              </w:rPr>
              <w:t xml:space="preserve">Résultat</w:t>
            </w:r>
          </w:p>
        </w:tc>
      </w:tr>
      <w:tr>
        <w:trPr>
          <w:tblHeader w:val="false"/>
        </w:trPr>
        <w:tc>
          <w:tcPr>
            <w:tcW w:type="dxa" w:w="216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  <w:tc>
          <w:tcPr>
            <w:tcW w:type="dxa" w:w="86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2"/>
                <w:szCs w:val="12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[Supprimer si sans objet.]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5.7 Événements postérieurs à la clôture</w:t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[Décrire tout événement significatif survenu entre la date de clôture et la date d'arrêté des comptes : conclusion ou perte de contrats majeurs, litiges, financements, transferts d'agréments finalisés, évolution du capital, etc. Si aucun : « Aucun événement significatif n'est intervenu entre la date de clôture et la date d'arrêté des comptes. »]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5.8 Proposition d'affectation du résultat</w:t>
      </w:r>
    </w:p>
    <w:p>
      <w:pPr>
        <w:spacing w:after="120" w:line="276"/>
      </w:pPr>
      <w:r>
        <w:rPr>
          <w:rFonts w:ascii="Calibri" w:cs="Calibri" w:eastAsia="Calibri" w:hAnsi="Calibri"/>
          <w:sz w:val="20"/>
          <w:szCs w:val="20"/>
        </w:rPr>
        <w:t xml:space="preserve">Il sera proposé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[à l'assemblée générale / à l'associé unique]</w:t>
      </w:r>
      <w:r>
        <w:rPr>
          <w:rFonts w:ascii="Calibri" w:cs="Calibri" w:eastAsia="Calibri" w:hAnsi="Calibri"/>
          <w:sz w:val="20"/>
          <w:szCs w:val="20"/>
        </w:rPr>
        <w:t xml:space="preserve"> d'affecter le résultat de l'exercice, soit </w:t>
      </w:r>
      <w:r>
        <w:rPr>
          <w:rFonts w:ascii="Consolas" w:cs="Consolas" w:eastAsia="Consolas" w:hAnsi="Consolas"/>
          <w:color w:val="A6262B"/>
          <w:sz w:val="18"/>
          <w:szCs w:val="18"/>
        </w:rPr>
        <w:t xml:space="preserve">[MONTANT]</w:t>
      </w:r>
      <w:r>
        <w:rPr>
          <w:rFonts w:ascii="Calibri" w:cs="Calibri" w:eastAsia="Calibri" w:hAnsi="Calibri"/>
          <w:sz w:val="20"/>
          <w:szCs w:val="20"/>
        </w:rPr>
        <w:t xml:space="preserve"> €, de la manière suivante :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5596"/>
        <w:gridCol w:w="3430"/>
      </w:tblGrid>
      <w:tr>
        <w:trPr>
          <w:tblHeader/>
        </w:trPr>
        <w:tc>
          <w:tcPr>
            <w:tcW w:type="dxa" w:w="559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Affectation</w:t>
            </w:r>
          </w:p>
        </w:tc>
        <w:tc>
          <w:tcPr>
            <w:tcW w:type="dxa" w:w="3430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Montant (€)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Réserve légale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Report à nouveau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  <w:tr>
        <w:trPr>
          <w:tblHeader w:val="false"/>
        </w:trPr>
        <w:tc>
          <w:tcPr>
            <w:tcW w:type="dxa" w:w="559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Dividendes</w:t>
            </w:r>
          </w:p>
        </w:tc>
        <w:tc>
          <w:tcPr>
            <w:tcW w:type="dxa" w:w="34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onsolas" w:cs="Consolas" w:eastAsia="Consolas" w:hAnsi="Consolas"/>
                <w:color w:val="A6262B"/>
                <w:sz w:val="15"/>
                <w:szCs w:val="15"/>
              </w:rPr>
              <w:t xml:space="preserve">[…]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line="276"/>
      </w:pPr>
      <w:r>
        <w:rPr>
          <w:rFonts w:ascii="Consolas" w:cs="Consolas" w:eastAsia="Consolas" w:hAnsi="Consolas"/>
          <w:color w:val="A6262B"/>
          <w:sz w:val="18"/>
          <w:szCs w:val="18"/>
        </w:rPr>
        <w:t xml:space="preserve">[Rappel : dotation à la réserve légale de 5 % du bénéfice jusqu'à 10 % du capital social.]</w:t>
      </w:r>
    </w:p>
    <w:p>
      <w:pPr>
        <w:pStyle w:val="Heading1"/>
        <w:keepNext/>
        <w:pBdr>
          <w:bottom w:val="single" w:color="BFBFBF" w:sz="6" w:space="4"/>
        </w:pBdr>
        <w:spacing w:after="160" w:before="360"/>
      </w:pPr>
      <w:r>
        <w:rPr>
          <w:rFonts w:ascii="Calibri" w:cs="Calibri" w:eastAsia="Calibri" w:hAnsi="Calibri"/>
          <w:color w:val="1F3864"/>
          <w:sz w:val="24"/>
          <w:szCs w:val="24"/>
        </w:rPr>
        <w:t xml:space="preserve">ANNEXE DE TRAVAIL — À SUPPRIMER AVANT DIFFUSION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Points à trancher avec l'expert-comptable et le commissaire aux comptes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2"/>
          <w:insideV w:val="single" w:color="BFBFBF" w:sz="2"/>
        </w:tblBorders>
      </w:tblPr>
      <w:tblGrid>
        <w:gridCol w:w="4513"/>
        <w:gridCol w:w="2257"/>
        <w:gridCol w:w="2256"/>
      </w:tblGrid>
      <w:tr>
        <w:trPr>
          <w:tblHeader/>
        </w:trPr>
        <w:tc>
          <w:tcPr>
            <w:tcW w:type="dxa" w:w="4513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#</w:t>
            </w:r>
          </w:p>
        </w:tc>
        <w:tc>
          <w:tcPr>
            <w:tcW w:type="dxa" w:w="2257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Point</w:t>
            </w:r>
          </w:p>
        </w:tc>
        <w:tc>
          <w:tcPr>
            <w:tcW w:type="dxa" w:w="2256"/>
            <w:shd w:fill="E8EC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Statut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Contrôle commun ou distinct → valeurs comptables ou réelles (ANC 2017-01)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Sens de l'opération (à l'endroit / à l'envers)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3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Existence et affectation d'un mali technique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4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Rétroactivité comptable et fiscale — résultat de la période intercalaire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5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Traitement des fonds dédiés issus du référentiel associatif (ANC 2018-06)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6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Traitement des subventions d'investissement transférées et clauses de reversement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7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Provisionnement des IDR (méthode préférentielle) ou hors bilan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8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Mise en cause du statut collectif et provision associée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9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Régime 210 A / 210 B — engagements et suivi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10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Valeurs fiscales d'entrée et non-transfert des déficits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11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Recensement des conventions réglementées avec l'association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12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Clauses de retour de biens / inaliénabilité → hors bilan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13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Durée exacte du premier exercice et prorata des données d'effectif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14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Comptes pro forma : présentés ou non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15</w:t>
            </w:r>
          </w:p>
        </w:tc>
        <w:tc>
          <w:tcPr>
            <w:tcW w:type="dxa" w:w="2257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Inclusion dans un périmètre de consolidation ou de combinaison</w:t>
            </w:r>
          </w:p>
        </w:tc>
        <w:tc>
          <w:tcPr>
            <w:tcW w:type="dxa" w:w="225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before="20" w:line="240"/>
              <w:jc w:val="right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color w:val="1F3864"/>
          <w:sz w:val="21"/>
          <w:szCs w:val="21"/>
        </w:rPr>
        <w:t xml:space="preserve">Documents à récupérer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Traité d'apport et ses annexes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Rapport du commissaire aux apports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Rapport du commissaire à la transformation / aux avantages particuliers (le cas échéant)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Statuts de la SAS et procès-verbaux (constitution, augmentation de capital)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Délibérations de l'association approuvant l'apport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Balance générale définitive à la clôture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Bilan et compte de résultat projetés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Derniers comptes annuels de l'association + comptes de la branche apportée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Tableau des immobilisations et amortissements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Évaluation actuarielle des IDR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Liste des contrats de travail transférés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Contrats de financement, baux, crédits-baux</w:t>
      </w:r>
    </w:p>
    <w:p>
      <w:pPr>
        <w:spacing w:after="60" w:line="276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□  </w:t>
      </w:r>
      <w:r>
        <w:rPr>
          <w:rFonts w:ascii="Calibri" w:cs="Calibri" w:eastAsia="Calibri" w:hAnsi="Calibri"/>
          <w:sz w:val="20"/>
          <w:szCs w:val="20"/>
        </w:rPr>
        <w:t xml:space="preserve">Liasse fiscale et rescrits / agréments éventuels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Projet d’annexe — document de travail, non validé   ·  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F3864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59595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aux comptes annuels — Projet</dc:title>
  <dc:creator>Projet d’annexe</dc:creator>
  <cp:lastModifiedBy>Un-named</cp:lastModifiedBy>
  <cp:revision>1</cp:revision>
  <dcterms:created xsi:type="dcterms:W3CDTF">2026-07-21T18:15:43.276Z</dcterms:created>
  <dcterms:modified xsi:type="dcterms:W3CDTF">2026-07-21T18:15:43.278Z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